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3510" w14:textId="77777777" w:rsidR="00E4761C" w:rsidRPr="00852642" w:rsidRDefault="00E4761C" w:rsidP="00001E1E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D66630D" w14:textId="77777777" w:rsidR="001040EC" w:rsidRPr="00852642" w:rsidRDefault="001040EC" w:rsidP="00001E1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BF2EB6C" w14:textId="77777777" w:rsidR="00E4761C" w:rsidRPr="00852642" w:rsidRDefault="00E4761C" w:rsidP="00001E1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13E7843" w14:textId="77777777" w:rsidR="00E4761C" w:rsidRPr="00852642" w:rsidRDefault="00E4761C" w:rsidP="00001E1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58C0EBD" w14:textId="77777777" w:rsidR="00DB62E5" w:rsidRPr="00852642" w:rsidRDefault="00DB62E5" w:rsidP="00DB62E5">
      <w:pPr>
        <w:spacing w:after="0" w:line="480" w:lineRule="auto"/>
        <w:jc w:val="center"/>
        <w:rPr>
          <w:rStyle w:val="fnt0"/>
          <w:rFonts w:ascii="Times New Roman" w:hAnsi="Times New Roman"/>
          <w:color w:val="auto"/>
          <w:sz w:val="24"/>
          <w:szCs w:val="24"/>
        </w:rPr>
      </w:pPr>
      <w:r w:rsidRPr="00852642">
        <w:rPr>
          <w:rStyle w:val="fnt0"/>
          <w:rFonts w:ascii="Times New Roman" w:hAnsi="Times New Roman"/>
          <w:color w:val="auto"/>
          <w:sz w:val="24"/>
          <w:szCs w:val="24"/>
        </w:rPr>
        <w:t xml:space="preserve">Module </w:t>
      </w:r>
      <w:r>
        <w:rPr>
          <w:rStyle w:val="fnt0"/>
          <w:rFonts w:ascii="Times New Roman" w:hAnsi="Times New Roman"/>
          <w:color w:val="auto"/>
          <w:sz w:val="24"/>
          <w:szCs w:val="24"/>
        </w:rPr>
        <w:t>5:</w:t>
      </w:r>
      <w:r w:rsidRPr="00852642">
        <w:rPr>
          <w:rStyle w:val="fnt0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fnt0"/>
          <w:rFonts w:ascii="Times New Roman" w:hAnsi="Times New Roman"/>
          <w:color w:val="auto"/>
          <w:sz w:val="24"/>
          <w:szCs w:val="24"/>
        </w:rPr>
        <w:t xml:space="preserve">Utilizing Parents as Stakeholders </w:t>
      </w:r>
      <w:r w:rsidRPr="00852642">
        <w:rPr>
          <w:rStyle w:val="fnt0"/>
          <w:rFonts w:ascii="Times New Roman" w:hAnsi="Times New Roman"/>
          <w:color w:val="auto"/>
          <w:sz w:val="24"/>
          <w:szCs w:val="24"/>
        </w:rPr>
        <w:t>(McCay)</w:t>
      </w:r>
    </w:p>
    <w:p w14:paraId="0340A32E" w14:textId="77777777" w:rsidR="000D23D2" w:rsidRPr="00852642" w:rsidRDefault="00C92BD9" w:rsidP="00001E1E">
      <w:pPr>
        <w:spacing w:after="0" w:line="480" w:lineRule="auto"/>
        <w:jc w:val="center"/>
        <w:rPr>
          <w:rStyle w:val="fnt0"/>
          <w:rFonts w:ascii="Times New Roman" w:hAnsi="Times New Roman"/>
          <w:color w:val="auto"/>
          <w:sz w:val="24"/>
          <w:szCs w:val="24"/>
        </w:rPr>
      </w:pPr>
      <w:r w:rsidRPr="00852642">
        <w:rPr>
          <w:rStyle w:val="fnt0"/>
          <w:rFonts w:ascii="Times New Roman" w:hAnsi="Times New Roman"/>
          <w:color w:val="auto"/>
          <w:sz w:val="24"/>
          <w:szCs w:val="24"/>
        </w:rPr>
        <w:t>Karen Ann McCay</w:t>
      </w:r>
    </w:p>
    <w:p w14:paraId="61C0C7C4" w14:textId="77777777" w:rsidR="006E6B45" w:rsidRPr="00852642" w:rsidRDefault="002C0B8A" w:rsidP="00001E1E">
      <w:pPr>
        <w:spacing w:after="0" w:line="480" w:lineRule="auto"/>
        <w:jc w:val="center"/>
        <w:rPr>
          <w:rStyle w:val="fnt0"/>
          <w:rFonts w:ascii="Times New Roman" w:hAnsi="Times New Roman"/>
          <w:color w:val="auto"/>
          <w:sz w:val="24"/>
          <w:szCs w:val="24"/>
        </w:rPr>
      </w:pPr>
      <w:r w:rsidRPr="00852642">
        <w:rPr>
          <w:rStyle w:val="fnt0"/>
          <w:rFonts w:ascii="Times New Roman" w:hAnsi="Times New Roman"/>
          <w:color w:val="auto"/>
          <w:sz w:val="24"/>
          <w:szCs w:val="24"/>
        </w:rPr>
        <w:t>EDL5</w:t>
      </w:r>
      <w:r w:rsidR="00AF788C" w:rsidRPr="00852642">
        <w:rPr>
          <w:rStyle w:val="fnt0"/>
          <w:rFonts w:ascii="Times New Roman" w:hAnsi="Times New Roman"/>
          <w:color w:val="auto"/>
          <w:sz w:val="24"/>
          <w:szCs w:val="24"/>
        </w:rPr>
        <w:t>6</w:t>
      </w:r>
      <w:r w:rsidRPr="00852642">
        <w:rPr>
          <w:rStyle w:val="fnt0"/>
          <w:rFonts w:ascii="Times New Roman" w:hAnsi="Times New Roman"/>
          <w:color w:val="auto"/>
          <w:sz w:val="24"/>
          <w:szCs w:val="24"/>
        </w:rPr>
        <w:t xml:space="preserve">0: </w:t>
      </w:r>
      <w:r w:rsidR="00AF788C" w:rsidRPr="00852642">
        <w:rPr>
          <w:rStyle w:val="fnt0"/>
          <w:rFonts w:ascii="Times New Roman" w:hAnsi="Times New Roman"/>
          <w:color w:val="auto"/>
          <w:sz w:val="24"/>
          <w:szCs w:val="24"/>
        </w:rPr>
        <w:t>External</w:t>
      </w:r>
      <w:r w:rsidRPr="00852642">
        <w:rPr>
          <w:rStyle w:val="fnt0"/>
          <w:rFonts w:ascii="Times New Roman" w:hAnsi="Times New Roman"/>
          <w:color w:val="auto"/>
          <w:sz w:val="24"/>
          <w:szCs w:val="24"/>
        </w:rPr>
        <w:t xml:space="preserve"> Leadership</w:t>
      </w:r>
      <w:r w:rsidR="00AF788C" w:rsidRPr="00852642">
        <w:rPr>
          <w:rStyle w:val="fnt0"/>
          <w:rFonts w:ascii="Times New Roman" w:hAnsi="Times New Roman"/>
          <w:color w:val="auto"/>
          <w:sz w:val="24"/>
          <w:szCs w:val="24"/>
        </w:rPr>
        <w:t xml:space="preserve"> Management</w:t>
      </w:r>
    </w:p>
    <w:p w14:paraId="3BBCA2EA" w14:textId="77777777" w:rsidR="000D23D2" w:rsidRPr="00852642" w:rsidRDefault="000D23D2" w:rsidP="00001E1E">
      <w:pPr>
        <w:spacing w:after="0" w:line="480" w:lineRule="auto"/>
        <w:jc w:val="center"/>
        <w:rPr>
          <w:rStyle w:val="fnt0"/>
          <w:rFonts w:ascii="Times New Roman" w:hAnsi="Times New Roman"/>
          <w:color w:val="auto"/>
          <w:sz w:val="24"/>
          <w:szCs w:val="24"/>
        </w:rPr>
      </w:pPr>
      <w:r w:rsidRPr="00852642">
        <w:rPr>
          <w:rStyle w:val="fnt0"/>
          <w:rFonts w:ascii="Times New Roman" w:hAnsi="Times New Roman"/>
          <w:color w:val="auto"/>
          <w:sz w:val="24"/>
          <w:szCs w:val="24"/>
        </w:rPr>
        <w:t>Colorado State University – Global Campus</w:t>
      </w:r>
    </w:p>
    <w:p w14:paraId="4EC2CD63" w14:textId="77777777" w:rsidR="000D23D2" w:rsidRPr="00852642" w:rsidRDefault="002C0B8A" w:rsidP="00001E1E">
      <w:pPr>
        <w:spacing w:after="0" w:line="480" w:lineRule="auto"/>
        <w:jc w:val="center"/>
        <w:rPr>
          <w:rStyle w:val="fnt0"/>
          <w:rFonts w:ascii="Times New Roman" w:hAnsi="Times New Roman"/>
          <w:color w:val="auto"/>
          <w:sz w:val="24"/>
          <w:szCs w:val="24"/>
        </w:rPr>
      </w:pPr>
      <w:r w:rsidRPr="00852642">
        <w:rPr>
          <w:rStyle w:val="fnt0"/>
          <w:rFonts w:ascii="Times New Roman" w:hAnsi="Times New Roman"/>
          <w:color w:val="auto"/>
          <w:sz w:val="24"/>
          <w:szCs w:val="24"/>
        </w:rPr>
        <w:t xml:space="preserve">Dr. </w:t>
      </w:r>
      <w:r w:rsidR="00AF788C" w:rsidRPr="00852642">
        <w:rPr>
          <w:rStyle w:val="fnt0"/>
          <w:rFonts w:ascii="Times New Roman" w:hAnsi="Times New Roman"/>
          <w:color w:val="auto"/>
          <w:sz w:val="24"/>
          <w:szCs w:val="24"/>
        </w:rPr>
        <w:t>Jazzar</w:t>
      </w:r>
    </w:p>
    <w:p w14:paraId="224E3BC3" w14:textId="634FDE19" w:rsidR="00E4761C" w:rsidRPr="00852642" w:rsidRDefault="00453ED9" w:rsidP="00001E1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fnt0"/>
          <w:rFonts w:ascii="Times New Roman" w:hAnsi="Times New Roman"/>
          <w:color w:val="auto"/>
          <w:sz w:val="24"/>
          <w:szCs w:val="24"/>
        </w:rPr>
        <w:t>July 1</w:t>
      </w:r>
      <w:r w:rsidR="00D672B8">
        <w:rPr>
          <w:rStyle w:val="fnt0"/>
          <w:rFonts w:ascii="Times New Roman" w:hAnsi="Times New Roman"/>
          <w:color w:val="auto"/>
          <w:sz w:val="24"/>
          <w:szCs w:val="24"/>
        </w:rPr>
        <w:t>5</w:t>
      </w:r>
      <w:r w:rsidR="00030A60" w:rsidRPr="00852642">
        <w:rPr>
          <w:rStyle w:val="fnt0"/>
          <w:rFonts w:ascii="Times New Roman" w:hAnsi="Times New Roman"/>
          <w:color w:val="auto"/>
          <w:sz w:val="24"/>
          <w:szCs w:val="24"/>
        </w:rPr>
        <w:t>, 2018</w:t>
      </w:r>
    </w:p>
    <w:p w14:paraId="2E5777CA" w14:textId="77777777" w:rsidR="00B56D29" w:rsidRPr="00852642" w:rsidRDefault="009B5B1F" w:rsidP="00001E1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52642">
        <w:rPr>
          <w:rFonts w:ascii="Times New Roman" w:hAnsi="Times New Roman"/>
          <w:sz w:val="24"/>
          <w:szCs w:val="24"/>
        </w:rPr>
        <w:br w:type="page"/>
      </w:r>
    </w:p>
    <w:p w14:paraId="0AF9A200" w14:textId="750F6784" w:rsidR="00D672B8" w:rsidRPr="00852642" w:rsidRDefault="00453ED9" w:rsidP="00D672B8">
      <w:pPr>
        <w:spacing w:after="0" w:line="480" w:lineRule="auto"/>
        <w:jc w:val="center"/>
        <w:rPr>
          <w:rStyle w:val="fnt0"/>
          <w:rFonts w:ascii="Times New Roman" w:hAnsi="Times New Roman"/>
          <w:color w:val="auto"/>
          <w:sz w:val="24"/>
          <w:szCs w:val="24"/>
        </w:rPr>
      </w:pPr>
      <w:r w:rsidRPr="00852642">
        <w:rPr>
          <w:rStyle w:val="fnt0"/>
          <w:rFonts w:ascii="Times New Roman" w:hAnsi="Times New Roman"/>
          <w:color w:val="auto"/>
          <w:sz w:val="24"/>
          <w:szCs w:val="24"/>
        </w:rPr>
        <w:lastRenderedPageBreak/>
        <w:t xml:space="preserve">Module </w:t>
      </w:r>
      <w:r w:rsidR="00D672B8">
        <w:rPr>
          <w:rStyle w:val="fnt0"/>
          <w:rFonts w:ascii="Times New Roman" w:hAnsi="Times New Roman"/>
          <w:color w:val="auto"/>
          <w:sz w:val="24"/>
          <w:szCs w:val="24"/>
        </w:rPr>
        <w:t>5:</w:t>
      </w:r>
      <w:r w:rsidR="00D672B8" w:rsidRPr="00852642">
        <w:rPr>
          <w:rStyle w:val="fnt0"/>
          <w:rFonts w:ascii="Times New Roman" w:hAnsi="Times New Roman"/>
          <w:color w:val="auto"/>
          <w:sz w:val="24"/>
          <w:szCs w:val="24"/>
        </w:rPr>
        <w:t xml:space="preserve"> </w:t>
      </w:r>
      <w:r w:rsidR="00DB62E5">
        <w:rPr>
          <w:rStyle w:val="fnt0"/>
          <w:rFonts w:ascii="Times New Roman" w:hAnsi="Times New Roman"/>
          <w:color w:val="auto"/>
          <w:sz w:val="24"/>
          <w:szCs w:val="24"/>
        </w:rPr>
        <w:t xml:space="preserve">Utilizing Parents as Stakeholders </w:t>
      </w:r>
      <w:r w:rsidR="00D672B8" w:rsidRPr="00852642">
        <w:rPr>
          <w:rStyle w:val="fnt0"/>
          <w:rFonts w:ascii="Times New Roman" w:hAnsi="Times New Roman"/>
          <w:color w:val="auto"/>
          <w:sz w:val="24"/>
          <w:szCs w:val="24"/>
        </w:rPr>
        <w:t>(McCay)</w:t>
      </w:r>
    </w:p>
    <w:p w14:paraId="1DCA3AED" w14:textId="22F42344" w:rsidR="00030A60" w:rsidRPr="00852642" w:rsidRDefault="00030A60" w:rsidP="00D672B8">
      <w:pPr>
        <w:spacing w:after="0" w:line="480" w:lineRule="auto"/>
        <w:jc w:val="center"/>
        <w:rPr>
          <w:rStyle w:val="fnt0"/>
          <w:rFonts w:ascii="Times New Roman" w:hAnsi="Times New Roman"/>
          <w:color w:val="auto"/>
          <w:sz w:val="24"/>
          <w:szCs w:val="24"/>
        </w:rPr>
      </w:pPr>
    </w:p>
    <w:p w14:paraId="7243594E" w14:textId="77777777" w:rsidR="00030A60" w:rsidRPr="00852642" w:rsidRDefault="00030A60" w:rsidP="00001E1E">
      <w:pPr>
        <w:spacing w:after="0" w:line="480" w:lineRule="auto"/>
        <w:jc w:val="center"/>
        <w:rPr>
          <w:rStyle w:val="fnt0"/>
          <w:rFonts w:ascii="Times New Roman" w:hAnsi="Times New Roman"/>
          <w:b/>
          <w:color w:val="auto"/>
          <w:sz w:val="24"/>
          <w:szCs w:val="24"/>
        </w:rPr>
      </w:pPr>
      <w:r w:rsidRPr="00852642">
        <w:rPr>
          <w:rStyle w:val="fnt0"/>
          <w:rFonts w:ascii="Times New Roman" w:hAnsi="Times New Roman"/>
          <w:b/>
          <w:color w:val="auto"/>
          <w:sz w:val="24"/>
          <w:szCs w:val="24"/>
        </w:rPr>
        <w:t>Introduction</w:t>
      </w:r>
    </w:p>
    <w:p w14:paraId="1BAB46A8" w14:textId="2C60B5FD" w:rsidR="00D672B8" w:rsidRDefault="004A0035" w:rsidP="00001E1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Style w:val="Strong"/>
          <w:b w:val="0"/>
        </w:rPr>
      </w:pPr>
      <w:r>
        <w:rPr>
          <w:rStyle w:val="Strong"/>
          <w:b w:val="0"/>
        </w:rPr>
        <w:t>Heights Middle School does an outstanding job of involving family members in students’ health planning. Because the school employs a fulltime registered nurse, the quality of health services and the involvement of family members are both high. What Heights needs to do next is take some of its informal relationships</w:t>
      </w:r>
      <w:r w:rsidR="00DB62E5">
        <w:rPr>
          <w:rStyle w:val="Strong"/>
          <w:b w:val="0"/>
        </w:rPr>
        <w:t>—</w:t>
      </w:r>
      <w:r>
        <w:rPr>
          <w:rStyle w:val="Strong"/>
          <w:b w:val="0"/>
        </w:rPr>
        <w:t>already</w:t>
      </w:r>
      <w:r w:rsidR="00DB62E5">
        <w:rPr>
          <w:rStyle w:val="Strong"/>
          <w:b w:val="0"/>
        </w:rPr>
        <w:t xml:space="preserve"> </w:t>
      </w:r>
      <w:r>
        <w:rPr>
          <w:rStyle w:val="Strong"/>
          <w:b w:val="0"/>
        </w:rPr>
        <w:t>used by the nurse</w:t>
      </w:r>
      <w:r w:rsidR="00DB62E5">
        <w:rPr>
          <w:rStyle w:val="Strong"/>
          <w:b w:val="0"/>
        </w:rPr>
        <w:t>—</w:t>
      </w:r>
      <w:r>
        <w:rPr>
          <w:rStyle w:val="Strong"/>
          <w:b w:val="0"/>
        </w:rPr>
        <w:t>and</w:t>
      </w:r>
      <w:r w:rsidR="00DB62E5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turn them into formal partnerships to improve student health services further. </w:t>
      </w:r>
      <w:r w:rsidR="00DB62E5">
        <w:rPr>
          <w:rStyle w:val="Strong"/>
          <w:b w:val="0"/>
        </w:rPr>
        <w:t xml:space="preserve">Heights has a secret weapon for ensuring its success in this endeavor: parents, who are also professionals in vital industries. Especially because of its small community size (under 50,000 residents), educators must think creatively to ensure community members will volunteer their time for a school endeavor. </w:t>
      </w:r>
      <w:r>
        <w:rPr>
          <w:rStyle w:val="Strong"/>
          <w:b w:val="0"/>
        </w:rPr>
        <w:t>If Heights Middle School can move its health practices forward with formal</w:t>
      </w:r>
      <w:r w:rsidR="00DB62E5">
        <w:rPr>
          <w:rStyle w:val="Strong"/>
          <w:b w:val="0"/>
        </w:rPr>
        <w:t>, parent-based</w:t>
      </w:r>
      <w:r>
        <w:rPr>
          <w:rStyle w:val="Strong"/>
          <w:b w:val="0"/>
        </w:rPr>
        <w:t xml:space="preserve"> partnerships and develop a student health center on campus, then the school will </w:t>
      </w:r>
      <w:r w:rsidR="00DB62E5">
        <w:rPr>
          <w:rStyle w:val="Strong"/>
          <w:b w:val="0"/>
        </w:rPr>
        <w:t>de</w:t>
      </w:r>
      <w:r>
        <w:rPr>
          <w:rStyle w:val="Strong"/>
          <w:b w:val="0"/>
        </w:rPr>
        <w:t>crease the few serious health concerns it currently has for students and staff.</w:t>
      </w:r>
    </w:p>
    <w:p w14:paraId="74D441A3" w14:textId="432C5D07" w:rsidR="00D25AC4" w:rsidRPr="00D25AC4" w:rsidRDefault="00DB62E5" w:rsidP="00D25AC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center"/>
        <w:rPr>
          <w:b/>
        </w:rPr>
      </w:pPr>
      <w:r>
        <w:rPr>
          <w:b/>
        </w:rPr>
        <w:t>Interagency Health Meeting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4045"/>
      </w:tblGrid>
      <w:tr w:rsidR="00F53463" w:rsidRPr="00F53463" w14:paraId="30992DAE" w14:textId="77777777" w:rsidTr="007E3DC1">
        <w:tc>
          <w:tcPr>
            <w:tcW w:w="1705" w:type="dxa"/>
          </w:tcPr>
          <w:p w14:paraId="6C3168B3" w14:textId="77777777" w:rsidR="00F53463" w:rsidRDefault="00D672B8" w:rsidP="00001E1E">
            <w:pPr>
              <w:pStyle w:val="NormalWeb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</w:t>
            </w:r>
          </w:p>
          <w:p w14:paraId="18F7BA02" w14:textId="17D98507" w:rsidR="00D672B8" w:rsidRPr="00F53463" w:rsidRDefault="00D672B8" w:rsidP="00001E1E">
            <w:pPr>
              <w:pStyle w:val="NormalWeb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600" w:type="dxa"/>
          </w:tcPr>
          <w:p w14:paraId="72A7A408" w14:textId="0AAAE242" w:rsidR="00F53463" w:rsidRPr="00F53463" w:rsidRDefault="00D672B8" w:rsidP="00001E1E">
            <w:pPr>
              <w:pStyle w:val="NormalWeb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TALKING POINTS</w:t>
            </w:r>
          </w:p>
        </w:tc>
        <w:tc>
          <w:tcPr>
            <w:tcW w:w="4045" w:type="dxa"/>
          </w:tcPr>
          <w:p w14:paraId="244CC7C9" w14:textId="6210217A" w:rsidR="00F53463" w:rsidRPr="00F53463" w:rsidRDefault="00D672B8" w:rsidP="00001E1E">
            <w:pPr>
              <w:pStyle w:val="NormalWeb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RATIONALE</w:t>
            </w:r>
          </w:p>
        </w:tc>
      </w:tr>
      <w:tr w:rsidR="00F53463" w14:paraId="574C13F4" w14:textId="77777777" w:rsidTr="007E3DC1">
        <w:tc>
          <w:tcPr>
            <w:tcW w:w="1705" w:type="dxa"/>
          </w:tcPr>
          <w:p w14:paraId="7F7A46DF" w14:textId="60626E2D" w:rsidR="00F53463" w:rsidRDefault="00D672B8" w:rsidP="00001E1E">
            <w:pPr>
              <w:pStyle w:val="NormalWeb"/>
              <w:spacing w:before="0" w:beforeAutospacing="0" w:after="0" w:afterAutospacing="0"/>
              <w:contextualSpacing/>
            </w:pPr>
            <w:r>
              <w:t>Current School Health for Students and Staff</w:t>
            </w:r>
          </w:p>
        </w:tc>
        <w:tc>
          <w:tcPr>
            <w:tcW w:w="3600" w:type="dxa"/>
          </w:tcPr>
          <w:p w14:paraId="5DF295D6" w14:textId="2097B4CA" w:rsidR="00F53463" w:rsidRDefault="00D672B8" w:rsidP="0012082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>
              <w:t>107 students with 504 health plans (723 students)</w:t>
            </w:r>
          </w:p>
          <w:p w14:paraId="76FF652C" w14:textId="2E64DDCA" w:rsidR="00AC49A2" w:rsidRDefault="00AC49A2" w:rsidP="0012082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>
              <w:t>2 students with cancer</w:t>
            </w:r>
          </w:p>
          <w:p w14:paraId="5F4A5494" w14:textId="13DDB5A8" w:rsidR="007E3DC1" w:rsidRDefault="00D672B8" w:rsidP="0012082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>
              <w:t>38 students with diabetes</w:t>
            </w:r>
          </w:p>
          <w:p w14:paraId="527354D6" w14:textId="5E45A88A" w:rsidR="007E3DC1" w:rsidRDefault="00D672B8" w:rsidP="0012082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>
              <w:t>58 students, who are obese (less than 10%)</w:t>
            </w:r>
          </w:p>
          <w:p w14:paraId="35462A24" w14:textId="77777777" w:rsidR="007E3DC1" w:rsidRDefault="00D672B8" w:rsidP="00001E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>
              <w:t>53 chronically absent students, who do not have 504 health plans</w:t>
            </w:r>
          </w:p>
          <w:p w14:paraId="7C4024B8" w14:textId="77777777" w:rsidR="00D672B8" w:rsidRDefault="00D672B8" w:rsidP="00001E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>
              <w:t>2 staff members with chronic illnesses</w:t>
            </w:r>
          </w:p>
          <w:p w14:paraId="3C003FA9" w14:textId="77777777" w:rsidR="00D672B8" w:rsidRDefault="00D672B8" w:rsidP="00001E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>
              <w:t>0 obese staff members, 0 cases of staff diabetes</w:t>
            </w:r>
          </w:p>
          <w:p w14:paraId="10FDD0FA" w14:textId="0BE3EA68" w:rsidR="00D672B8" w:rsidRDefault="00D672B8" w:rsidP="00D672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>
              <w:lastRenderedPageBreak/>
              <w:t>2 staff members, who are cancer survivors</w:t>
            </w:r>
          </w:p>
        </w:tc>
        <w:tc>
          <w:tcPr>
            <w:tcW w:w="4045" w:type="dxa"/>
          </w:tcPr>
          <w:p w14:paraId="0E0679A1" w14:textId="77777777" w:rsidR="0037129D" w:rsidRDefault="00AC49A2" w:rsidP="00AC49A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>
              <w:lastRenderedPageBreak/>
              <w:t>The health demographics are maintained and updated monthly with progress reports by the school nurse, who provides monthly updates to the school data team (Holt, 2018).</w:t>
            </w:r>
          </w:p>
          <w:p w14:paraId="7446B2F3" w14:textId="3B2B5CA2" w:rsidR="00AC49A2" w:rsidRDefault="00AC49A2" w:rsidP="00AC49A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>
              <w:t xml:space="preserve">All health concerns are addressed within the school by the school </w:t>
            </w:r>
            <w:proofErr w:type="gramStart"/>
            <w:r>
              <w:t>nurse ;</w:t>
            </w:r>
            <w:proofErr w:type="gramEnd"/>
            <w:r>
              <w:t xml:space="preserve"> the nurse partners with external stakeholders to ensure students have proper care and proper Medicaid billing (if applicable) (Holt, 2018).</w:t>
            </w:r>
          </w:p>
        </w:tc>
      </w:tr>
      <w:tr w:rsidR="00F53463" w14:paraId="2828A089" w14:textId="77777777" w:rsidTr="007E3DC1">
        <w:tc>
          <w:tcPr>
            <w:tcW w:w="1705" w:type="dxa"/>
          </w:tcPr>
          <w:p w14:paraId="1CA66543" w14:textId="34B31C68" w:rsidR="00F53463" w:rsidRDefault="00AC49A2" w:rsidP="00001E1E">
            <w:pPr>
              <w:pStyle w:val="NormalWeb"/>
              <w:spacing w:before="0" w:beforeAutospacing="0" w:after="0" w:afterAutospacing="0"/>
              <w:contextualSpacing/>
            </w:pPr>
            <w:r>
              <w:t>Current Partnering Agencies</w:t>
            </w:r>
          </w:p>
        </w:tc>
        <w:tc>
          <w:tcPr>
            <w:tcW w:w="3600" w:type="dxa"/>
          </w:tcPr>
          <w:p w14:paraId="68214D9A" w14:textId="77777777" w:rsidR="0037129D" w:rsidRDefault="00AC49A2" w:rsidP="0012082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>
              <w:t>San Juan Regional Medical Health Center currently provides diabetic testing materials to the school; the hospital also provides emergency materials (glucose tablets, glucose shakes, etc.), which the nurse is legally allowed to administer during an emergency.</w:t>
            </w:r>
          </w:p>
          <w:p w14:paraId="2EFD185B" w14:textId="77777777" w:rsidR="00AC49A2" w:rsidRDefault="00AC49A2" w:rsidP="0012082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>
              <w:t>Students are required to bring their needed medical supplies and/or medications to school in their prescription bottle with proper directions for administration.</w:t>
            </w:r>
          </w:p>
          <w:p w14:paraId="36878B37" w14:textId="1DD023C5" w:rsidR="00AC49A2" w:rsidRDefault="00AC49A2" w:rsidP="0012082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>
              <w:t>Parents must sign a required waiver for the nurse to provide medications, even OTC medications.</w:t>
            </w:r>
          </w:p>
        </w:tc>
        <w:tc>
          <w:tcPr>
            <w:tcW w:w="4045" w:type="dxa"/>
          </w:tcPr>
          <w:p w14:paraId="08F48896" w14:textId="045B4FBA" w:rsidR="00F53463" w:rsidRDefault="00AC49A2" w:rsidP="00AC49A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>
              <w:t>New Mexico state law requires a signed parent permission/waiver for the administration of any medication to students, and the law also allows only limited emergency treatments beyond doctors’ prescriptions and life-saving emergency care (Holt, 2018).</w:t>
            </w:r>
          </w:p>
        </w:tc>
      </w:tr>
      <w:tr w:rsidR="00F53463" w14:paraId="5F642532" w14:textId="77777777" w:rsidTr="007E3DC1">
        <w:tc>
          <w:tcPr>
            <w:tcW w:w="1705" w:type="dxa"/>
          </w:tcPr>
          <w:p w14:paraId="39A36A88" w14:textId="17BED8AC" w:rsidR="00F53463" w:rsidRDefault="00AC49A2" w:rsidP="00001E1E">
            <w:pPr>
              <w:pStyle w:val="NormalWeb"/>
              <w:spacing w:before="0" w:beforeAutospacing="0" w:after="0" w:afterAutospacing="0"/>
              <w:contextualSpacing/>
            </w:pPr>
            <w:r>
              <w:t>Current Mental Health Services</w:t>
            </w:r>
          </w:p>
        </w:tc>
        <w:tc>
          <w:tcPr>
            <w:tcW w:w="3600" w:type="dxa"/>
          </w:tcPr>
          <w:p w14:paraId="2934BAA9" w14:textId="7E873FAD" w:rsidR="0037129D" w:rsidRDefault="00AC49A2" w:rsidP="00AC49A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contextualSpacing/>
            </w:pPr>
            <w:r>
              <w:t>Heights currently employs two licensed counselors; one counselor meets with students for mental health counseling, and one meets with students/families about educational needs and mental health counseling (as needed).</w:t>
            </w:r>
          </w:p>
          <w:p w14:paraId="1905AD48" w14:textId="77777777" w:rsidR="00AC49A2" w:rsidRDefault="00AC49A2" w:rsidP="00AC49A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contextualSpacing/>
            </w:pPr>
            <w:r>
              <w:t>Counseling services are free to students and staff members.</w:t>
            </w:r>
          </w:p>
          <w:p w14:paraId="4D3AB72D" w14:textId="6B1CF978" w:rsidR="00AC49A2" w:rsidRDefault="00AC49A2" w:rsidP="00AC49A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contextualSpacing/>
            </w:pPr>
            <w:r>
              <w:t>The educational counselor serves on all 504 health plan meetings and all behavioral IEP teams to ensure continuity of care.</w:t>
            </w:r>
          </w:p>
        </w:tc>
        <w:tc>
          <w:tcPr>
            <w:tcW w:w="4045" w:type="dxa"/>
          </w:tcPr>
          <w:p w14:paraId="684E28E7" w14:textId="2E2DCEE6" w:rsidR="00C72618" w:rsidRDefault="00AC49A2" w:rsidP="00001E1E">
            <w:pPr>
              <w:pStyle w:val="NormalWeb"/>
              <w:spacing w:before="0" w:beforeAutospacing="0" w:after="0" w:afterAutospacing="0"/>
              <w:contextualSpacing/>
            </w:pPr>
            <w:r>
              <w:t>Students may sign up to see a counselor as needed, and they will be called down that day; students may also request regular counseling sessions, which are then scheduled t</w:t>
            </w:r>
            <w:r w:rsidR="00340C3F">
              <w:t>o avoid learning conflicts (Mead, 2018).</w:t>
            </w:r>
          </w:p>
          <w:p w14:paraId="60921608" w14:textId="17D4B9DE" w:rsidR="00C72618" w:rsidRDefault="00C72618" w:rsidP="00001E1E">
            <w:pPr>
              <w:pStyle w:val="NormalWeb"/>
              <w:spacing w:before="0" w:beforeAutospacing="0" w:after="0" w:afterAutospacing="0"/>
              <w:contextualSpacing/>
            </w:pPr>
          </w:p>
        </w:tc>
      </w:tr>
      <w:tr w:rsidR="00F53463" w14:paraId="047CE6E4" w14:textId="77777777" w:rsidTr="007E3DC1">
        <w:tc>
          <w:tcPr>
            <w:tcW w:w="1705" w:type="dxa"/>
          </w:tcPr>
          <w:p w14:paraId="1FF3C569" w14:textId="37D9ECB9" w:rsidR="00F53463" w:rsidRDefault="00340C3F" w:rsidP="00001E1E">
            <w:pPr>
              <w:pStyle w:val="NormalWeb"/>
              <w:spacing w:before="0" w:beforeAutospacing="0" w:after="0" w:afterAutospacing="0"/>
              <w:contextualSpacing/>
            </w:pPr>
            <w:r>
              <w:t>New Partnerships</w:t>
            </w:r>
          </w:p>
        </w:tc>
        <w:tc>
          <w:tcPr>
            <w:tcW w:w="3600" w:type="dxa"/>
          </w:tcPr>
          <w:p w14:paraId="5775F546" w14:textId="7D819CC1" w:rsidR="00340C3F" w:rsidRDefault="00340C3F" w:rsidP="00001E1E">
            <w:pPr>
              <w:pStyle w:val="NormalWeb"/>
              <w:spacing w:before="0" w:beforeAutospacing="0" w:after="0" w:afterAutospacing="0"/>
              <w:contextualSpacing/>
            </w:pPr>
            <w:r>
              <w:t xml:space="preserve">Heights would like to develop formal partnerships with other service providers in the community to ensure continuity of </w:t>
            </w:r>
            <w:r>
              <w:lastRenderedPageBreak/>
              <w:t>care; up to this point, we have only met with outside providers on a case-by-case basis:</w:t>
            </w:r>
          </w:p>
          <w:p w14:paraId="0FF09D78" w14:textId="4F825EA6" w:rsidR="00C72618" w:rsidRDefault="00340C3F" w:rsidP="00340C3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>
              <w:t>Catholic Family Services</w:t>
            </w:r>
          </w:p>
          <w:p w14:paraId="0BF146CD" w14:textId="191FBA32" w:rsidR="00340C3F" w:rsidRDefault="00340C3F" w:rsidP="00340C3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>
              <w:t>Pinon Family Health Center</w:t>
            </w:r>
          </w:p>
          <w:p w14:paraId="17C05B49" w14:textId="3939F633" w:rsidR="00340C3F" w:rsidRDefault="00340C3F" w:rsidP="00340C3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>
              <w:t>San Juan College Behavioral Health Center</w:t>
            </w:r>
          </w:p>
          <w:p w14:paraId="5D4FE8ED" w14:textId="77777777" w:rsidR="00340C3F" w:rsidRDefault="00340C3F" w:rsidP="00340C3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>
              <w:t>Presbyterian Hospital</w:t>
            </w:r>
          </w:p>
          <w:p w14:paraId="7FA6DF5C" w14:textId="0D07E61D" w:rsidR="00340C3F" w:rsidRDefault="00340C3F" w:rsidP="00340C3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contextualSpacing/>
            </w:pPr>
            <w:r>
              <w:t>Presbyterian Mental Health Center</w:t>
            </w:r>
          </w:p>
          <w:p w14:paraId="0440BABA" w14:textId="03139140" w:rsidR="00340C3F" w:rsidRDefault="00340C3F" w:rsidP="00340C3F">
            <w:pPr>
              <w:pStyle w:val="NormalWeb"/>
              <w:spacing w:before="0" w:beforeAutospacing="0" w:after="0" w:afterAutospacing="0"/>
              <w:contextualSpacing/>
            </w:pPr>
            <w:r>
              <w:t>Partnering with these service providers will lower school expenses and provide quality care for students.</w:t>
            </w:r>
          </w:p>
          <w:p w14:paraId="20B7E5E5" w14:textId="35BABA02" w:rsidR="00340C3F" w:rsidRDefault="00340C3F" w:rsidP="00340C3F">
            <w:pPr>
              <w:pStyle w:val="NormalWeb"/>
              <w:spacing w:before="0" w:beforeAutospacing="0" w:after="0" w:afterAutospacing="0"/>
              <w:contextualSpacing/>
            </w:pPr>
            <w:r>
              <w:t>Heights would like to establish a true Heights Health Center where students can receive their health care at little/no cost.</w:t>
            </w:r>
          </w:p>
          <w:p w14:paraId="65E9033E" w14:textId="7BA88B34" w:rsidR="00340C3F" w:rsidRDefault="00340C3F" w:rsidP="00001E1E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4045" w:type="dxa"/>
          </w:tcPr>
          <w:p w14:paraId="372E40E8" w14:textId="755CC420" w:rsidR="00C72618" w:rsidRPr="00340C3F" w:rsidRDefault="00340C3F" w:rsidP="00001E1E">
            <w:pPr>
              <w:pStyle w:val="NormalWeb"/>
              <w:spacing w:before="0" w:beforeAutospacing="0" w:after="0" w:afterAutospacing="0"/>
              <w:contextualSpacing/>
            </w:pPr>
            <w:r>
              <w:rPr>
                <w:shd w:val="clear" w:color="auto" w:fill="FFFFFF"/>
              </w:rPr>
              <w:lastRenderedPageBreak/>
              <w:t>“</w:t>
            </w:r>
            <w:r w:rsidRPr="00340C3F">
              <w:rPr>
                <w:shd w:val="clear" w:color="auto" w:fill="FFFFFF"/>
              </w:rPr>
              <w:t xml:space="preserve">One of the several benefits of SBHCs is that the kids get care they need in a confidential, comfortable environment </w:t>
            </w:r>
            <w:r w:rsidRPr="00340C3F">
              <w:rPr>
                <w:shd w:val="clear" w:color="auto" w:fill="FFFFFF"/>
              </w:rPr>
              <w:lastRenderedPageBreak/>
              <w:t>that they are already used to</w:t>
            </w:r>
            <w:r>
              <w:rPr>
                <w:shd w:val="clear" w:color="auto" w:fill="FFFFFF"/>
              </w:rPr>
              <w:t>” (Child and Family Agency, 2014).</w:t>
            </w:r>
          </w:p>
        </w:tc>
      </w:tr>
      <w:tr w:rsidR="00F53463" w14:paraId="4A868D2E" w14:textId="77777777" w:rsidTr="007E3DC1">
        <w:tc>
          <w:tcPr>
            <w:tcW w:w="1705" w:type="dxa"/>
          </w:tcPr>
          <w:p w14:paraId="46B26DCD" w14:textId="5CF63279" w:rsidR="00F53463" w:rsidRDefault="00340C3F" w:rsidP="00001E1E">
            <w:pPr>
              <w:pStyle w:val="NormalWeb"/>
              <w:spacing w:before="0" w:beforeAutospacing="0" w:after="0" w:afterAutospacing="0"/>
              <w:contextualSpacing/>
            </w:pPr>
            <w:r>
              <w:lastRenderedPageBreak/>
              <w:t xml:space="preserve">Inviting Family Participation </w:t>
            </w:r>
            <w:r w:rsidR="004A0035">
              <w:t xml:space="preserve">AND Community Participation </w:t>
            </w:r>
            <w:r>
              <w:t>in Planning new Partnerships</w:t>
            </w:r>
          </w:p>
        </w:tc>
        <w:tc>
          <w:tcPr>
            <w:tcW w:w="3600" w:type="dxa"/>
          </w:tcPr>
          <w:p w14:paraId="0123FCB1" w14:textId="77777777" w:rsidR="00542E0B" w:rsidRDefault="00340C3F" w:rsidP="0012082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  <w:r>
              <w:t>Jill Adair, head of nursing at Presbyterian Medical Center, is also a parent, and has agreed to serve on our planning team.</w:t>
            </w:r>
          </w:p>
          <w:p w14:paraId="5DDF84EA" w14:textId="77777777" w:rsidR="00340C3F" w:rsidRDefault="00340C3F" w:rsidP="0012082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  <w:r>
              <w:t>Are any parents here, who would like to serve, as well? We have a sign-up list in the back.</w:t>
            </w:r>
          </w:p>
          <w:p w14:paraId="0F83C682" w14:textId="77777777" w:rsidR="00340C3F" w:rsidRDefault="004A0035" w:rsidP="0012082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  <w:r>
              <w:t>We will send out a digital newsletter with a digital sign-up for parents, who could not attend tonight.</w:t>
            </w:r>
          </w:p>
          <w:p w14:paraId="462B3B6C" w14:textId="0BF0E43A" w:rsidR="004A0035" w:rsidRDefault="004A0035" w:rsidP="0012082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contextualSpacing/>
            </w:pPr>
            <w:r>
              <w:t>Who else should we be asking?</w:t>
            </w:r>
          </w:p>
        </w:tc>
        <w:tc>
          <w:tcPr>
            <w:tcW w:w="4045" w:type="dxa"/>
          </w:tcPr>
          <w:p w14:paraId="0B16BABB" w14:textId="77777777" w:rsidR="00542E0B" w:rsidRDefault="004A0035" w:rsidP="00001E1E">
            <w:pPr>
              <w:pStyle w:val="NormalWeb"/>
              <w:spacing w:before="0" w:beforeAutospacing="0" w:after="0" w:afterAutospacing="0"/>
              <w:contextualSpacing/>
            </w:pPr>
            <w:r>
              <w:t>While community involvement can be low, accepting the “anemic” response to invitations is accepting the status quo (Vollmer, 2011).</w:t>
            </w:r>
          </w:p>
          <w:p w14:paraId="039371EF" w14:textId="78017BF5" w:rsidR="004A0035" w:rsidRDefault="004A0035" w:rsidP="00001E1E">
            <w:pPr>
              <w:pStyle w:val="NormalWeb"/>
              <w:spacing w:before="0" w:beforeAutospacing="0" w:after="0" w:afterAutospacing="0"/>
              <w:contextualSpacing/>
            </w:pPr>
            <w:r>
              <w:t>Heights will strengthen its chance of success by trying to involve parents, who are also agency leaders/employees (Gardner, 2018).</w:t>
            </w:r>
          </w:p>
        </w:tc>
      </w:tr>
      <w:tr w:rsidR="00F53463" w14:paraId="3838A458" w14:textId="77777777" w:rsidTr="007E3DC1">
        <w:tc>
          <w:tcPr>
            <w:tcW w:w="1705" w:type="dxa"/>
          </w:tcPr>
          <w:p w14:paraId="26E2EFC2" w14:textId="32A7CCD8" w:rsidR="00F53463" w:rsidRDefault="004A0035" w:rsidP="00001E1E">
            <w:pPr>
              <w:pStyle w:val="NormalWeb"/>
              <w:spacing w:before="0" w:beforeAutospacing="0" w:after="0" w:afterAutospacing="0"/>
              <w:contextualSpacing/>
            </w:pPr>
            <w:r>
              <w:t>Strategies for Success</w:t>
            </w:r>
          </w:p>
        </w:tc>
        <w:tc>
          <w:tcPr>
            <w:tcW w:w="3600" w:type="dxa"/>
          </w:tcPr>
          <w:p w14:paraId="71CC6523" w14:textId="77777777" w:rsidR="00542E0B" w:rsidRDefault="004A0035" w:rsidP="004A003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ontextualSpacing/>
            </w:pPr>
            <w:r>
              <w:t>We need to invite more parents, who are also community leaders/employees.</w:t>
            </w:r>
          </w:p>
          <w:p w14:paraId="6B14BB58" w14:textId="24AF82E9" w:rsidR="004A0035" w:rsidRDefault="004A0035" w:rsidP="004A003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ontextualSpacing/>
            </w:pPr>
            <w:r>
              <w:t>Who should we be asking?</w:t>
            </w:r>
          </w:p>
        </w:tc>
        <w:tc>
          <w:tcPr>
            <w:tcW w:w="4045" w:type="dxa"/>
          </w:tcPr>
          <w:p w14:paraId="1563FEF4" w14:textId="3AFD4247" w:rsidR="00F53463" w:rsidRDefault="004A0035" w:rsidP="00001E1E">
            <w:pPr>
              <w:pStyle w:val="NormalWeb"/>
              <w:spacing w:before="0" w:beforeAutospacing="0" w:after="0" w:afterAutospacing="0"/>
              <w:contextualSpacing/>
            </w:pPr>
            <w:r>
              <w:t>“Meet with complainers” and new parents to begin a list of potential volunteers from the professional sector (O’Donnell, 2018).</w:t>
            </w:r>
          </w:p>
        </w:tc>
      </w:tr>
    </w:tbl>
    <w:p w14:paraId="7443B88C" w14:textId="77777777" w:rsidR="00F53463" w:rsidRPr="00852642" w:rsidRDefault="00F53463" w:rsidP="00001E1E">
      <w:pPr>
        <w:pStyle w:val="NormalWeb"/>
        <w:shd w:val="clear" w:color="auto" w:fill="FFFFFF"/>
        <w:spacing w:before="0" w:beforeAutospacing="0" w:after="0" w:afterAutospacing="0" w:line="480" w:lineRule="auto"/>
      </w:pPr>
    </w:p>
    <w:p w14:paraId="18DFF567" w14:textId="77777777" w:rsidR="00204965" w:rsidRPr="00852642" w:rsidRDefault="00D8679E" w:rsidP="00001E1E">
      <w:pPr>
        <w:spacing w:after="0" w:line="480" w:lineRule="auto"/>
        <w:ind w:firstLine="720"/>
        <w:jc w:val="center"/>
        <w:rPr>
          <w:rStyle w:val="fnt0"/>
          <w:rFonts w:ascii="Times New Roman" w:hAnsi="Times New Roman"/>
          <w:b/>
          <w:color w:val="auto"/>
          <w:sz w:val="24"/>
          <w:szCs w:val="24"/>
        </w:rPr>
      </w:pPr>
      <w:r w:rsidRPr="00852642">
        <w:rPr>
          <w:rStyle w:val="fnt0"/>
          <w:rFonts w:ascii="Times New Roman" w:hAnsi="Times New Roman"/>
          <w:b/>
          <w:color w:val="auto"/>
          <w:sz w:val="24"/>
          <w:szCs w:val="24"/>
        </w:rPr>
        <w:t>Conclusion</w:t>
      </w:r>
    </w:p>
    <w:p w14:paraId="62D61F2C" w14:textId="531EBA35" w:rsidR="00DF5BFF" w:rsidRPr="00852642" w:rsidRDefault="004A0035" w:rsidP="00001E1E">
      <w:pPr>
        <w:spacing w:after="0" w:line="480" w:lineRule="auto"/>
        <w:ind w:firstLine="720"/>
        <w:rPr>
          <w:rStyle w:val="fnt0"/>
          <w:rFonts w:ascii="Times New Roman" w:hAnsi="Times New Roman"/>
          <w:color w:val="auto"/>
          <w:sz w:val="24"/>
          <w:szCs w:val="24"/>
        </w:rPr>
      </w:pPr>
      <w:r>
        <w:rPr>
          <w:rStyle w:val="fnt0"/>
          <w:rFonts w:ascii="Times New Roman" w:hAnsi="Times New Roman"/>
          <w:color w:val="auto"/>
          <w:sz w:val="24"/>
          <w:szCs w:val="24"/>
        </w:rPr>
        <w:lastRenderedPageBreak/>
        <w:t xml:space="preserve">Heights Middle School has dreamed of opening a health center on campus for seven years, but due to other pressing educational needs, the school has always waited “one more year” to pursue the dream. </w:t>
      </w:r>
      <w:r w:rsidR="00DB62E5">
        <w:rPr>
          <w:rStyle w:val="fnt0"/>
          <w:rFonts w:ascii="Times New Roman" w:hAnsi="Times New Roman"/>
          <w:color w:val="auto"/>
          <w:sz w:val="24"/>
          <w:szCs w:val="24"/>
        </w:rPr>
        <w:t>Now that educational maters like grading, curriculum, and instructional practices are well in-hand, the school has an opportunity to make the dream a reality. With the help of dedicated parents, who are also leaders in the medical and mental health fields, the school has a higher chance of success than most campuses. Planning a meeting with interested stakeholders and utilizing the agenda prepared will help the school begin the process of actualizing their vision for a healthier student body.</w:t>
      </w:r>
    </w:p>
    <w:p w14:paraId="4B76C203" w14:textId="77777777" w:rsidR="00DF5BFF" w:rsidRPr="00852642" w:rsidRDefault="00DF5BFF" w:rsidP="00001E1E">
      <w:pPr>
        <w:spacing w:after="0" w:line="480" w:lineRule="auto"/>
        <w:ind w:firstLine="720"/>
        <w:jc w:val="center"/>
        <w:rPr>
          <w:rStyle w:val="fnt0"/>
          <w:rFonts w:ascii="Times New Roman" w:hAnsi="Times New Roman"/>
          <w:color w:val="auto"/>
          <w:sz w:val="24"/>
          <w:szCs w:val="24"/>
        </w:rPr>
      </w:pPr>
      <w:r w:rsidRPr="00852642">
        <w:rPr>
          <w:rStyle w:val="fnt0"/>
          <w:rFonts w:ascii="Times New Roman" w:hAnsi="Times New Roman"/>
          <w:color w:val="auto"/>
          <w:sz w:val="24"/>
          <w:szCs w:val="24"/>
        </w:rPr>
        <w:br w:type="page"/>
      </w:r>
      <w:r w:rsidRPr="00852642">
        <w:rPr>
          <w:rStyle w:val="fnt0"/>
          <w:rFonts w:ascii="Times New Roman" w:hAnsi="Times New Roman"/>
          <w:color w:val="auto"/>
          <w:sz w:val="24"/>
          <w:szCs w:val="24"/>
        </w:rPr>
        <w:lastRenderedPageBreak/>
        <w:t>References</w:t>
      </w:r>
    </w:p>
    <w:p w14:paraId="56CD43F3" w14:textId="77777777" w:rsidR="00340C3F" w:rsidRDefault="00340C3F" w:rsidP="00340C3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40C3F">
        <w:rPr>
          <w:rFonts w:ascii="Times New Roman" w:hAnsi="Times New Roman"/>
          <w:sz w:val="24"/>
          <w:szCs w:val="24"/>
        </w:rPr>
        <w:t>Child and Family Agency. (2014). </w:t>
      </w:r>
      <w:r w:rsidRPr="00340C3F">
        <w:rPr>
          <w:rStyle w:val="Emphasis"/>
          <w:rFonts w:ascii="Times New Roman" w:hAnsi="Times New Roman"/>
          <w:sz w:val="24"/>
          <w:szCs w:val="24"/>
        </w:rPr>
        <w:t>School based health centers.</w:t>
      </w:r>
      <w:r w:rsidRPr="00340C3F">
        <w:rPr>
          <w:rFonts w:ascii="Times New Roman" w:hAnsi="Times New Roman"/>
          <w:sz w:val="24"/>
          <w:szCs w:val="24"/>
        </w:rPr>
        <w:t xml:space="preserve"> Retrieved </w:t>
      </w:r>
    </w:p>
    <w:p w14:paraId="6620599A" w14:textId="4A562F96" w:rsidR="00340C3F" w:rsidRPr="00340C3F" w:rsidRDefault="00340C3F" w:rsidP="00340C3F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340C3F">
        <w:rPr>
          <w:rFonts w:ascii="Times New Roman" w:hAnsi="Times New Roman"/>
          <w:sz w:val="24"/>
          <w:szCs w:val="24"/>
        </w:rPr>
        <w:t>from </w:t>
      </w:r>
      <w:hyperlink r:id="rId9" w:history="1">
        <w:r w:rsidRPr="00340C3F">
          <w:rPr>
            <w:rStyle w:val="Hyperlink"/>
            <w:rFonts w:ascii="Times New Roman" w:hAnsi="Times New Roman"/>
            <w:bCs/>
            <w:sz w:val="24"/>
            <w:szCs w:val="24"/>
          </w:rPr>
          <w:t>http://www.childandfamilyagency.org/school-based-health-centers-receive-2015-good-neighbor-award/</w:t>
        </w:r>
      </w:hyperlink>
    </w:p>
    <w:p w14:paraId="0A36B01B" w14:textId="77777777" w:rsidR="00DB62E5" w:rsidRDefault="00DB62E5" w:rsidP="00340C3F">
      <w:pPr>
        <w:spacing w:after="0" w:line="480" w:lineRule="auto"/>
        <w:rPr>
          <w:rStyle w:val="fnt0"/>
          <w:rFonts w:ascii="Times New Roman" w:hAnsi="Times New Roman"/>
          <w:color w:val="auto"/>
          <w:sz w:val="24"/>
          <w:szCs w:val="24"/>
        </w:rPr>
      </w:pPr>
      <w:r>
        <w:rPr>
          <w:rStyle w:val="fnt0"/>
          <w:rFonts w:ascii="Times New Roman" w:hAnsi="Times New Roman"/>
          <w:color w:val="auto"/>
          <w:sz w:val="24"/>
          <w:szCs w:val="24"/>
        </w:rPr>
        <w:t>Gardner, D. (2018). Personal interview.</w:t>
      </w:r>
    </w:p>
    <w:p w14:paraId="1517771F" w14:textId="02657B45" w:rsidR="00A340E6" w:rsidRDefault="00340C3F" w:rsidP="00340C3F">
      <w:pPr>
        <w:spacing w:after="0" w:line="480" w:lineRule="auto"/>
        <w:rPr>
          <w:rStyle w:val="fnt0"/>
          <w:rFonts w:ascii="Times New Roman" w:hAnsi="Times New Roman"/>
          <w:color w:val="auto"/>
          <w:sz w:val="24"/>
          <w:szCs w:val="24"/>
        </w:rPr>
      </w:pPr>
      <w:r>
        <w:rPr>
          <w:rStyle w:val="fnt0"/>
          <w:rFonts w:ascii="Times New Roman" w:hAnsi="Times New Roman"/>
          <w:color w:val="auto"/>
          <w:sz w:val="24"/>
          <w:szCs w:val="24"/>
        </w:rPr>
        <w:t>Holt, J. J. (2018). Personal interview.</w:t>
      </w:r>
    </w:p>
    <w:p w14:paraId="0B1B21F1" w14:textId="6F0EAB76" w:rsidR="00340C3F" w:rsidRDefault="00340C3F" w:rsidP="00340C3F">
      <w:pPr>
        <w:spacing w:after="0" w:line="480" w:lineRule="auto"/>
        <w:rPr>
          <w:rStyle w:val="fnt0"/>
          <w:rFonts w:ascii="Times New Roman" w:hAnsi="Times New Roman"/>
          <w:color w:val="auto"/>
          <w:sz w:val="24"/>
          <w:szCs w:val="24"/>
        </w:rPr>
      </w:pPr>
      <w:r>
        <w:rPr>
          <w:rStyle w:val="fnt0"/>
          <w:rFonts w:ascii="Times New Roman" w:hAnsi="Times New Roman"/>
          <w:color w:val="auto"/>
          <w:sz w:val="24"/>
          <w:szCs w:val="24"/>
        </w:rPr>
        <w:t>Mead, L. (2018). Personal interview.</w:t>
      </w:r>
    </w:p>
    <w:p w14:paraId="12ADD545" w14:textId="77777777" w:rsidR="00DB62E5" w:rsidRDefault="00DB62E5" w:rsidP="00340C3F">
      <w:pPr>
        <w:spacing w:after="0" w:line="480" w:lineRule="auto"/>
        <w:rPr>
          <w:rStyle w:val="fnt0"/>
          <w:rFonts w:ascii="Times New Roman" w:hAnsi="Times New Roman"/>
          <w:color w:val="auto"/>
          <w:sz w:val="24"/>
          <w:szCs w:val="24"/>
        </w:rPr>
      </w:pPr>
      <w:r>
        <w:rPr>
          <w:rStyle w:val="fnt0"/>
          <w:rFonts w:ascii="Times New Roman" w:hAnsi="Times New Roman"/>
          <w:color w:val="auto"/>
          <w:sz w:val="24"/>
          <w:szCs w:val="24"/>
        </w:rPr>
        <w:t>O’Donnell, L. (2018, February 1). 9 steps for better school volunteer recruitment (</w:t>
      </w:r>
      <w:r>
        <w:rPr>
          <w:rStyle w:val="fnt0"/>
          <w:rFonts w:ascii="Times New Roman" w:hAnsi="Times New Roman"/>
          <w:i/>
          <w:color w:val="auto"/>
          <w:sz w:val="24"/>
          <w:szCs w:val="24"/>
        </w:rPr>
        <w:t>PTO today</w:t>
      </w:r>
      <w:r>
        <w:rPr>
          <w:rStyle w:val="fnt0"/>
          <w:rFonts w:ascii="Times New Roman" w:hAnsi="Times New Roman"/>
          <w:color w:val="auto"/>
          <w:sz w:val="24"/>
          <w:szCs w:val="24"/>
        </w:rPr>
        <w:t xml:space="preserve">). </w:t>
      </w:r>
    </w:p>
    <w:p w14:paraId="20D4D2C8" w14:textId="6460E7F4" w:rsidR="00DB62E5" w:rsidRDefault="00DB62E5" w:rsidP="00DB62E5">
      <w:pPr>
        <w:spacing w:after="0" w:line="480" w:lineRule="auto"/>
        <w:ind w:left="720"/>
        <w:rPr>
          <w:rStyle w:val="fnt0"/>
          <w:rFonts w:ascii="Times New Roman" w:hAnsi="Times New Roman"/>
          <w:color w:val="auto"/>
          <w:sz w:val="24"/>
          <w:szCs w:val="24"/>
        </w:rPr>
      </w:pPr>
      <w:r>
        <w:rPr>
          <w:rStyle w:val="fnt0"/>
          <w:rFonts w:ascii="Times New Roman" w:hAnsi="Times New Roman"/>
          <w:color w:val="auto"/>
          <w:sz w:val="24"/>
          <w:szCs w:val="24"/>
        </w:rPr>
        <w:t xml:space="preserve">Retrieved July 13, 2018, from </w:t>
      </w:r>
      <w:hyperlink r:id="rId10" w:history="1">
        <w:r w:rsidRPr="00DF1B1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https://www.ptotoday.com/pto-today-articles/article/1193-9-steps-to-recruit-more-volunteers</w:t>
        </w:r>
      </w:hyperlink>
    </w:p>
    <w:p w14:paraId="0BC6F524" w14:textId="38E42AFD" w:rsidR="00DB62E5" w:rsidRPr="00DB62E5" w:rsidRDefault="00DB62E5" w:rsidP="00DB6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2E5">
        <w:rPr>
          <w:rFonts w:ascii="Times New Roman" w:hAnsi="Times New Roman"/>
          <w:sz w:val="24"/>
          <w:szCs w:val="24"/>
        </w:rPr>
        <w:t>Vollmer, J. (2011). </w:t>
      </w:r>
      <w:hyperlink r:id="rId11" w:tgtFrame="_new" w:history="1">
        <w:r w:rsidRPr="00DB62E5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Welcome to the </w:t>
        </w:r>
        <w:r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g</w:t>
        </w:r>
        <w:r w:rsidRPr="00DB62E5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reat </w:t>
        </w:r>
        <w:r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c</w:t>
        </w:r>
        <w:r w:rsidRPr="00DB62E5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onversation</w:t>
        </w:r>
      </w:hyperlink>
      <w:r w:rsidRPr="00DB62E5">
        <w:rPr>
          <w:rFonts w:ascii="Times New Roman" w:hAnsi="Times New Roman"/>
          <w:sz w:val="24"/>
          <w:szCs w:val="24"/>
        </w:rPr>
        <w:t>. </w:t>
      </w:r>
      <w:r w:rsidRPr="00DB62E5">
        <w:rPr>
          <w:rStyle w:val="Emphasis"/>
          <w:rFonts w:ascii="Times New Roman" w:hAnsi="Times New Roman"/>
          <w:sz w:val="24"/>
          <w:szCs w:val="24"/>
        </w:rPr>
        <w:t xml:space="preserve">Educational </w:t>
      </w:r>
      <w:r>
        <w:rPr>
          <w:rStyle w:val="Emphasis"/>
          <w:rFonts w:ascii="Times New Roman" w:hAnsi="Times New Roman"/>
          <w:sz w:val="24"/>
          <w:szCs w:val="24"/>
        </w:rPr>
        <w:t>l</w:t>
      </w:r>
      <w:r w:rsidRPr="00DB62E5">
        <w:rPr>
          <w:rStyle w:val="Emphasis"/>
          <w:rFonts w:ascii="Times New Roman" w:hAnsi="Times New Roman"/>
          <w:sz w:val="24"/>
          <w:szCs w:val="24"/>
        </w:rPr>
        <w:t>eadership</w:t>
      </w:r>
      <w:r w:rsidRPr="00DB62E5">
        <w:rPr>
          <w:rFonts w:ascii="Times New Roman" w:hAnsi="Times New Roman"/>
          <w:sz w:val="24"/>
          <w:szCs w:val="24"/>
        </w:rPr>
        <w:t>, </w:t>
      </w:r>
      <w:r w:rsidRPr="00DB62E5">
        <w:rPr>
          <w:rStyle w:val="Emphasis"/>
          <w:rFonts w:ascii="Times New Roman" w:hAnsi="Times New Roman"/>
          <w:sz w:val="24"/>
          <w:szCs w:val="24"/>
        </w:rPr>
        <w:t>68</w:t>
      </w:r>
      <w:r w:rsidRPr="00DB62E5">
        <w:rPr>
          <w:rFonts w:ascii="Times New Roman" w:hAnsi="Times New Roman"/>
          <w:sz w:val="24"/>
          <w:szCs w:val="24"/>
        </w:rPr>
        <w:t>(8), 69.</w:t>
      </w:r>
    </w:p>
    <w:p w14:paraId="22040E44" w14:textId="77777777" w:rsidR="00DB62E5" w:rsidRPr="00DB62E5" w:rsidRDefault="00DB62E5" w:rsidP="00DB62E5">
      <w:pPr>
        <w:spacing w:after="0" w:line="480" w:lineRule="auto"/>
        <w:rPr>
          <w:rStyle w:val="fnt0"/>
          <w:rFonts w:ascii="Times New Roman" w:hAnsi="Times New Roman"/>
          <w:color w:val="auto"/>
          <w:sz w:val="24"/>
          <w:szCs w:val="24"/>
        </w:rPr>
      </w:pPr>
    </w:p>
    <w:sectPr w:rsidR="00DB62E5" w:rsidRPr="00DB62E5" w:rsidSect="00E74CCC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03CDC" w14:textId="77777777" w:rsidR="00885EBA" w:rsidRDefault="00885EBA" w:rsidP="00E4761C">
      <w:pPr>
        <w:spacing w:after="0" w:line="240" w:lineRule="auto"/>
      </w:pPr>
      <w:r>
        <w:separator/>
      </w:r>
    </w:p>
  </w:endnote>
  <w:endnote w:type="continuationSeparator" w:id="0">
    <w:p w14:paraId="69E96F87" w14:textId="77777777" w:rsidR="00885EBA" w:rsidRDefault="00885EBA" w:rsidP="00E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97835" w14:textId="77777777" w:rsidR="00885EBA" w:rsidRDefault="00885EBA" w:rsidP="00E4761C">
      <w:pPr>
        <w:spacing w:after="0" w:line="240" w:lineRule="auto"/>
      </w:pPr>
      <w:r>
        <w:separator/>
      </w:r>
    </w:p>
  </w:footnote>
  <w:footnote w:type="continuationSeparator" w:id="0">
    <w:p w14:paraId="6C0B14A8" w14:textId="77777777" w:rsidR="00885EBA" w:rsidRDefault="00885EBA" w:rsidP="00E4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717C" w14:textId="1BA78DC0" w:rsidR="00710932" w:rsidRPr="00593C2C" w:rsidRDefault="00DB62E5" w:rsidP="00260441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MODULE 5: UTLIZING PARENTS AS STAKEHOLDERS (MCCAY)</w:t>
    </w:r>
    <w:r w:rsidR="00D672B8">
      <w:rPr>
        <w:rFonts w:ascii="Times New Roman" w:hAnsi="Times New Roman"/>
        <w:sz w:val="24"/>
        <w:szCs w:val="24"/>
      </w:rPr>
      <w:tab/>
    </w:r>
    <w:r w:rsidR="00710932" w:rsidRPr="00593C2C">
      <w:rPr>
        <w:rFonts w:ascii="Times New Roman" w:hAnsi="Times New Roman"/>
        <w:sz w:val="24"/>
        <w:szCs w:val="24"/>
      </w:rPr>
      <w:fldChar w:fldCharType="begin"/>
    </w:r>
    <w:r w:rsidR="00710932" w:rsidRPr="00593C2C">
      <w:rPr>
        <w:rFonts w:ascii="Times New Roman" w:hAnsi="Times New Roman"/>
        <w:sz w:val="24"/>
        <w:szCs w:val="24"/>
      </w:rPr>
      <w:instrText xml:space="preserve"> PAGE   \* MERGEFORMAT </w:instrText>
    </w:r>
    <w:r w:rsidR="00710932" w:rsidRPr="00593C2C">
      <w:rPr>
        <w:rFonts w:ascii="Times New Roman" w:hAnsi="Times New Roman"/>
        <w:sz w:val="24"/>
        <w:szCs w:val="24"/>
      </w:rPr>
      <w:fldChar w:fldCharType="separate"/>
    </w:r>
    <w:r w:rsidR="00710932">
      <w:rPr>
        <w:rFonts w:ascii="Times New Roman" w:hAnsi="Times New Roman"/>
        <w:noProof/>
        <w:sz w:val="24"/>
        <w:szCs w:val="24"/>
      </w:rPr>
      <w:t>2</w:t>
    </w:r>
    <w:r w:rsidR="00710932" w:rsidRPr="00593C2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A748" w14:textId="2D761020" w:rsidR="00710932" w:rsidRPr="00466FD3" w:rsidRDefault="0071093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Running head: </w:t>
    </w:r>
    <w:r w:rsidR="00D672B8">
      <w:rPr>
        <w:rFonts w:ascii="Times New Roman" w:hAnsi="Times New Roman"/>
        <w:sz w:val="24"/>
        <w:szCs w:val="24"/>
      </w:rPr>
      <w:t>MODULE 5:</w:t>
    </w:r>
    <w:r w:rsidR="00DB62E5">
      <w:rPr>
        <w:rFonts w:ascii="Times New Roman" w:hAnsi="Times New Roman"/>
        <w:sz w:val="24"/>
        <w:szCs w:val="24"/>
      </w:rPr>
      <w:t xml:space="preserve"> UTLIZING PARENTS AS STAKEHOLDERS</w:t>
    </w:r>
    <w:r w:rsidR="00D672B8">
      <w:rPr>
        <w:rFonts w:ascii="Times New Roman" w:hAnsi="Times New Roman"/>
        <w:sz w:val="24"/>
        <w:szCs w:val="24"/>
      </w:rPr>
      <w:t xml:space="preserve"> (MCCAY)</w:t>
    </w:r>
    <w:r w:rsidR="00D672B8">
      <w:rPr>
        <w:rFonts w:ascii="Times New Roman" w:hAnsi="Times New Roman"/>
        <w:sz w:val="24"/>
        <w:szCs w:val="24"/>
      </w:rPr>
      <w:tab/>
    </w:r>
    <w:r w:rsidRPr="00466FD3">
      <w:rPr>
        <w:rFonts w:ascii="Times New Roman" w:hAnsi="Times New Roman"/>
        <w:sz w:val="24"/>
        <w:szCs w:val="24"/>
      </w:rPr>
      <w:fldChar w:fldCharType="begin"/>
    </w:r>
    <w:r w:rsidRPr="00466FD3">
      <w:rPr>
        <w:rFonts w:ascii="Times New Roman" w:hAnsi="Times New Roman"/>
        <w:sz w:val="24"/>
        <w:szCs w:val="24"/>
      </w:rPr>
      <w:instrText xml:space="preserve"> PAGE   \* MERGEFORMAT </w:instrText>
    </w:r>
    <w:r w:rsidRPr="00466FD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466FD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9B0"/>
    <w:multiLevelType w:val="hybridMultilevel"/>
    <w:tmpl w:val="8692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145"/>
    <w:multiLevelType w:val="hybridMultilevel"/>
    <w:tmpl w:val="4D70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4D4"/>
    <w:multiLevelType w:val="hybridMultilevel"/>
    <w:tmpl w:val="81F8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061"/>
    <w:multiLevelType w:val="multilevel"/>
    <w:tmpl w:val="AD4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308AC"/>
    <w:multiLevelType w:val="multilevel"/>
    <w:tmpl w:val="C078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B3715"/>
    <w:multiLevelType w:val="hybridMultilevel"/>
    <w:tmpl w:val="B6A4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685D"/>
    <w:multiLevelType w:val="hybridMultilevel"/>
    <w:tmpl w:val="F226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1BA9"/>
    <w:multiLevelType w:val="hybridMultilevel"/>
    <w:tmpl w:val="7C1A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57713"/>
    <w:multiLevelType w:val="hybridMultilevel"/>
    <w:tmpl w:val="A9E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A52CB"/>
    <w:multiLevelType w:val="hybridMultilevel"/>
    <w:tmpl w:val="0D48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124BC"/>
    <w:multiLevelType w:val="hybridMultilevel"/>
    <w:tmpl w:val="FCF2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4392D"/>
    <w:multiLevelType w:val="hybridMultilevel"/>
    <w:tmpl w:val="431A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E4B19"/>
    <w:multiLevelType w:val="multilevel"/>
    <w:tmpl w:val="87A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A4EF4"/>
    <w:multiLevelType w:val="hybridMultilevel"/>
    <w:tmpl w:val="131A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D7071"/>
    <w:multiLevelType w:val="hybridMultilevel"/>
    <w:tmpl w:val="F7C8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0"/>
  </w:num>
  <w:num w:numId="13">
    <w:abstractNumId w:val="3"/>
  </w:num>
  <w:num w:numId="14">
    <w:abstractNumId w:val="14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1C"/>
    <w:rsid w:val="0000157C"/>
    <w:rsid w:val="00001E1E"/>
    <w:rsid w:val="00017AD0"/>
    <w:rsid w:val="00030A60"/>
    <w:rsid w:val="00030C32"/>
    <w:rsid w:val="00037BAD"/>
    <w:rsid w:val="0004052E"/>
    <w:rsid w:val="00046CF1"/>
    <w:rsid w:val="00054FA6"/>
    <w:rsid w:val="00067B22"/>
    <w:rsid w:val="000735ED"/>
    <w:rsid w:val="000A0F83"/>
    <w:rsid w:val="000B0DA2"/>
    <w:rsid w:val="000C44B0"/>
    <w:rsid w:val="000D20C0"/>
    <w:rsid w:val="000D23D2"/>
    <w:rsid w:val="000D5703"/>
    <w:rsid w:val="000E5EA2"/>
    <w:rsid w:val="000E6503"/>
    <w:rsid w:val="00102AE7"/>
    <w:rsid w:val="001040EC"/>
    <w:rsid w:val="00106527"/>
    <w:rsid w:val="00106726"/>
    <w:rsid w:val="00120821"/>
    <w:rsid w:val="00121FA2"/>
    <w:rsid w:val="00122E11"/>
    <w:rsid w:val="001239D3"/>
    <w:rsid w:val="00130EED"/>
    <w:rsid w:val="00131F8A"/>
    <w:rsid w:val="001331CD"/>
    <w:rsid w:val="00144DDB"/>
    <w:rsid w:val="00155A47"/>
    <w:rsid w:val="00157F4D"/>
    <w:rsid w:val="001865FE"/>
    <w:rsid w:val="0019321A"/>
    <w:rsid w:val="00195CBF"/>
    <w:rsid w:val="001B7027"/>
    <w:rsid w:val="001F0663"/>
    <w:rsid w:val="001F474A"/>
    <w:rsid w:val="00201DA6"/>
    <w:rsid w:val="00204965"/>
    <w:rsid w:val="002055AC"/>
    <w:rsid w:val="00210BA4"/>
    <w:rsid w:val="00210C36"/>
    <w:rsid w:val="00210E91"/>
    <w:rsid w:val="002329C4"/>
    <w:rsid w:val="00233BB8"/>
    <w:rsid w:val="00247D2C"/>
    <w:rsid w:val="002533B0"/>
    <w:rsid w:val="00260441"/>
    <w:rsid w:val="00262C17"/>
    <w:rsid w:val="00284391"/>
    <w:rsid w:val="00293ED9"/>
    <w:rsid w:val="002C0B8A"/>
    <w:rsid w:val="002E7900"/>
    <w:rsid w:val="002F16EA"/>
    <w:rsid w:val="003212E8"/>
    <w:rsid w:val="003309B1"/>
    <w:rsid w:val="0034067F"/>
    <w:rsid w:val="00340C3F"/>
    <w:rsid w:val="0034569B"/>
    <w:rsid w:val="0034634D"/>
    <w:rsid w:val="0035156D"/>
    <w:rsid w:val="003578E4"/>
    <w:rsid w:val="00361531"/>
    <w:rsid w:val="00362D48"/>
    <w:rsid w:val="0037129D"/>
    <w:rsid w:val="003774A6"/>
    <w:rsid w:val="003845FC"/>
    <w:rsid w:val="0038489B"/>
    <w:rsid w:val="00397C3F"/>
    <w:rsid w:val="003C5BFA"/>
    <w:rsid w:val="003D4C99"/>
    <w:rsid w:val="003E14A0"/>
    <w:rsid w:val="003E55E6"/>
    <w:rsid w:val="003F1E79"/>
    <w:rsid w:val="0042149F"/>
    <w:rsid w:val="00425E38"/>
    <w:rsid w:val="00434090"/>
    <w:rsid w:val="004524A0"/>
    <w:rsid w:val="00452BBF"/>
    <w:rsid w:val="00453ED9"/>
    <w:rsid w:val="004575E9"/>
    <w:rsid w:val="004653DB"/>
    <w:rsid w:val="00466FD3"/>
    <w:rsid w:val="00476971"/>
    <w:rsid w:val="004908BB"/>
    <w:rsid w:val="004A0035"/>
    <w:rsid w:val="004A39E8"/>
    <w:rsid w:val="004A41B4"/>
    <w:rsid w:val="004E5D35"/>
    <w:rsid w:val="004F62C7"/>
    <w:rsid w:val="00502468"/>
    <w:rsid w:val="005052EF"/>
    <w:rsid w:val="00520A79"/>
    <w:rsid w:val="00542E0B"/>
    <w:rsid w:val="005477B4"/>
    <w:rsid w:val="005514A3"/>
    <w:rsid w:val="005523A2"/>
    <w:rsid w:val="0056095C"/>
    <w:rsid w:val="00566316"/>
    <w:rsid w:val="00572A73"/>
    <w:rsid w:val="00572B2D"/>
    <w:rsid w:val="00582F3A"/>
    <w:rsid w:val="00593C2C"/>
    <w:rsid w:val="0059610D"/>
    <w:rsid w:val="00596B53"/>
    <w:rsid w:val="005979C2"/>
    <w:rsid w:val="005A0A5E"/>
    <w:rsid w:val="005A1956"/>
    <w:rsid w:val="005B0CBE"/>
    <w:rsid w:val="005C1917"/>
    <w:rsid w:val="005C5A9E"/>
    <w:rsid w:val="005D6785"/>
    <w:rsid w:val="005E1589"/>
    <w:rsid w:val="00602ECF"/>
    <w:rsid w:val="006061B6"/>
    <w:rsid w:val="0064057C"/>
    <w:rsid w:val="00645E2D"/>
    <w:rsid w:val="006666B5"/>
    <w:rsid w:val="00670A4C"/>
    <w:rsid w:val="006C02B4"/>
    <w:rsid w:val="006C48FD"/>
    <w:rsid w:val="006E1312"/>
    <w:rsid w:val="006E6B45"/>
    <w:rsid w:val="006F2038"/>
    <w:rsid w:val="0070345B"/>
    <w:rsid w:val="0070791D"/>
    <w:rsid w:val="00710932"/>
    <w:rsid w:val="00716330"/>
    <w:rsid w:val="00721B05"/>
    <w:rsid w:val="00730CEA"/>
    <w:rsid w:val="00734073"/>
    <w:rsid w:val="007427D0"/>
    <w:rsid w:val="00762BD9"/>
    <w:rsid w:val="00766546"/>
    <w:rsid w:val="007762BB"/>
    <w:rsid w:val="0078531F"/>
    <w:rsid w:val="007A24E3"/>
    <w:rsid w:val="007D6A85"/>
    <w:rsid w:val="007E19D1"/>
    <w:rsid w:val="007E3DC1"/>
    <w:rsid w:val="007F5B7D"/>
    <w:rsid w:val="00800CD8"/>
    <w:rsid w:val="00815E8D"/>
    <w:rsid w:val="008171AF"/>
    <w:rsid w:val="00817F32"/>
    <w:rsid w:val="00835E57"/>
    <w:rsid w:val="00837913"/>
    <w:rsid w:val="00840D8D"/>
    <w:rsid w:val="0084187D"/>
    <w:rsid w:val="00851565"/>
    <w:rsid w:val="00852642"/>
    <w:rsid w:val="00853FA9"/>
    <w:rsid w:val="00861361"/>
    <w:rsid w:val="00861C48"/>
    <w:rsid w:val="00873730"/>
    <w:rsid w:val="00885EBA"/>
    <w:rsid w:val="0089113B"/>
    <w:rsid w:val="008B1B72"/>
    <w:rsid w:val="008C2115"/>
    <w:rsid w:val="008C4264"/>
    <w:rsid w:val="008C76E6"/>
    <w:rsid w:val="008D562B"/>
    <w:rsid w:val="008E12CF"/>
    <w:rsid w:val="008E3676"/>
    <w:rsid w:val="008F2CB0"/>
    <w:rsid w:val="008F4EB9"/>
    <w:rsid w:val="008F55D4"/>
    <w:rsid w:val="00904BF9"/>
    <w:rsid w:val="00906B19"/>
    <w:rsid w:val="00920D08"/>
    <w:rsid w:val="0092215D"/>
    <w:rsid w:val="009414B0"/>
    <w:rsid w:val="00953DA0"/>
    <w:rsid w:val="00972177"/>
    <w:rsid w:val="009777C1"/>
    <w:rsid w:val="009813F5"/>
    <w:rsid w:val="00984416"/>
    <w:rsid w:val="009A0E35"/>
    <w:rsid w:val="009A4F33"/>
    <w:rsid w:val="009A7708"/>
    <w:rsid w:val="009B5B1F"/>
    <w:rsid w:val="009C2AED"/>
    <w:rsid w:val="009C4140"/>
    <w:rsid w:val="009C59FF"/>
    <w:rsid w:val="009E22C9"/>
    <w:rsid w:val="009E368A"/>
    <w:rsid w:val="00A07501"/>
    <w:rsid w:val="00A10123"/>
    <w:rsid w:val="00A10812"/>
    <w:rsid w:val="00A340E6"/>
    <w:rsid w:val="00A3712A"/>
    <w:rsid w:val="00A418F6"/>
    <w:rsid w:val="00A4781A"/>
    <w:rsid w:val="00A55046"/>
    <w:rsid w:val="00A6580E"/>
    <w:rsid w:val="00A67290"/>
    <w:rsid w:val="00A84FDE"/>
    <w:rsid w:val="00A92B4A"/>
    <w:rsid w:val="00A9387E"/>
    <w:rsid w:val="00AA2764"/>
    <w:rsid w:val="00AB61A9"/>
    <w:rsid w:val="00AC49A2"/>
    <w:rsid w:val="00AC5265"/>
    <w:rsid w:val="00AD63B2"/>
    <w:rsid w:val="00AE2891"/>
    <w:rsid w:val="00AE48BB"/>
    <w:rsid w:val="00AF1752"/>
    <w:rsid w:val="00AF788C"/>
    <w:rsid w:val="00B063E3"/>
    <w:rsid w:val="00B20D74"/>
    <w:rsid w:val="00B3638D"/>
    <w:rsid w:val="00B46622"/>
    <w:rsid w:val="00B4787B"/>
    <w:rsid w:val="00B51EAC"/>
    <w:rsid w:val="00B56D29"/>
    <w:rsid w:val="00B65361"/>
    <w:rsid w:val="00B766A0"/>
    <w:rsid w:val="00B767A4"/>
    <w:rsid w:val="00B876EA"/>
    <w:rsid w:val="00BA4716"/>
    <w:rsid w:val="00BF17CC"/>
    <w:rsid w:val="00BF1A43"/>
    <w:rsid w:val="00BF7105"/>
    <w:rsid w:val="00C11C76"/>
    <w:rsid w:val="00C21AFB"/>
    <w:rsid w:val="00C4087A"/>
    <w:rsid w:val="00C50052"/>
    <w:rsid w:val="00C5026D"/>
    <w:rsid w:val="00C509A2"/>
    <w:rsid w:val="00C54C71"/>
    <w:rsid w:val="00C56A98"/>
    <w:rsid w:val="00C56F8C"/>
    <w:rsid w:val="00C70CC1"/>
    <w:rsid w:val="00C72618"/>
    <w:rsid w:val="00C809E7"/>
    <w:rsid w:val="00C82661"/>
    <w:rsid w:val="00C83E7E"/>
    <w:rsid w:val="00C853A4"/>
    <w:rsid w:val="00C92BD9"/>
    <w:rsid w:val="00C968E1"/>
    <w:rsid w:val="00C97F90"/>
    <w:rsid w:val="00CA3081"/>
    <w:rsid w:val="00CA3226"/>
    <w:rsid w:val="00CB4119"/>
    <w:rsid w:val="00CB6605"/>
    <w:rsid w:val="00CB6D94"/>
    <w:rsid w:val="00CC257C"/>
    <w:rsid w:val="00CC3EB0"/>
    <w:rsid w:val="00CD3D22"/>
    <w:rsid w:val="00CD6FC1"/>
    <w:rsid w:val="00CF3F7D"/>
    <w:rsid w:val="00CF4F29"/>
    <w:rsid w:val="00D211AE"/>
    <w:rsid w:val="00D25AC4"/>
    <w:rsid w:val="00D27A9C"/>
    <w:rsid w:val="00D30E6D"/>
    <w:rsid w:val="00D51E17"/>
    <w:rsid w:val="00D57638"/>
    <w:rsid w:val="00D62020"/>
    <w:rsid w:val="00D62431"/>
    <w:rsid w:val="00D67183"/>
    <w:rsid w:val="00D672B8"/>
    <w:rsid w:val="00D7493A"/>
    <w:rsid w:val="00D85072"/>
    <w:rsid w:val="00D8679E"/>
    <w:rsid w:val="00DA2DF5"/>
    <w:rsid w:val="00DA627F"/>
    <w:rsid w:val="00DA77DD"/>
    <w:rsid w:val="00DB62E5"/>
    <w:rsid w:val="00DB736F"/>
    <w:rsid w:val="00DD4860"/>
    <w:rsid w:val="00DE183B"/>
    <w:rsid w:val="00DE7CD1"/>
    <w:rsid w:val="00DF5BFF"/>
    <w:rsid w:val="00E15B33"/>
    <w:rsid w:val="00E15C1A"/>
    <w:rsid w:val="00E24148"/>
    <w:rsid w:val="00E25580"/>
    <w:rsid w:val="00E27AAF"/>
    <w:rsid w:val="00E439E2"/>
    <w:rsid w:val="00E4761C"/>
    <w:rsid w:val="00E47F57"/>
    <w:rsid w:val="00E57A85"/>
    <w:rsid w:val="00E62B17"/>
    <w:rsid w:val="00E6786A"/>
    <w:rsid w:val="00E74CCC"/>
    <w:rsid w:val="00E77464"/>
    <w:rsid w:val="00E8274E"/>
    <w:rsid w:val="00E87F43"/>
    <w:rsid w:val="00E92A9B"/>
    <w:rsid w:val="00EA2C5B"/>
    <w:rsid w:val="00EA563F"/>
    <w:rsid w:val="00EB5263"/>
    <w:rsid w:val="00EC16B7"/>
    <w:rsid w:val="00EE42BC"/>
    <w:rsid w:val="00EE7916"/>
    <w:rsid w:val="00EF3B5B"/>
    <w:rsid w:val="00F06363"/>
    <w:rsid w:val="00F1290D"/>
    <w:rsid w:val="00F23385"/>
    <w:rsid w:val="00F308A0"/>
    <w:rsid w:val="00F30A56"/>
    <w:rsid w:val="00F46DF3"/>
    <w:rsid w:val="00F53463"/>
    <w:rsid w:val="00F61329"/>
    <w:rsid w:val="00F63FB2"/>
    <w:rsid w:val="00F66083"/>
    <w:rsid w:val="00F6660F"/>
    <w:rsid w:val="00F83DE9"/>
    <w:rsid w:val="00FC6D1B"/>
    <w:rsid w:val="00FD78BC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5ADC"/>
  <w15:chartTrackingRefBased/>
  <w15:docId w15:val="{DE1666F9-F2D5-4651-B677-7E854BB0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5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D7493A"/>
    <w:pPr>
      <w:keepNext/>
      <w:keepLines/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1C"/>
  </w:style>
  <w:style w:type="paragraph" w:styleId="Footer">
    <w:name w:val="footer"/>
    <w:basedOn w:val="Normal"/>
    <w:link w:val="FooterChar"/>
    <w:uiPriority w:val="99"/>
    <w:unhideWhenUsed/>
    <w:rsid w:val="00E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1C"/>
  </w:style>
  <w:style w:type="character" w:styleId="Hyperlink">
    <w:name w:val="Hyperlink"/>
    <w:unhideWhenUsed/>
    <w:rsid w:val="00425E38"/>
    <w:rPr>
      <w:color w:val="0000FF"/>
      <w:u w:val="single"/>
    </w:rPr>
  </w:style>
  <w:style w:type="paragraph" w:customStyle="1" w:styleId="Default">
    <w:name w:val="Default"/>
    <w:rsid w:val="00E24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730"/>
    <w:pPr>
      <w:ind w:left="720"/>
    </w:pPr>
    <w:rPr>
      <w:rFonts w:eastAsia="Times New Roman" w:cs="Calibri"/>
    </w:rPr>
  </w:style>
  <w:style w:type="character" w:styleId="CommentReference">
    <w:name w:val="annotation reference"/>
    <w:uiPriority w:val="99"/>
    <w:semiHidden/>
    <w:unhideWhenUsed/>
    <w:rsid w:val="00766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5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5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E1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-paragraph2">
    <w:name w:val="body-paragraph2"/>
    <w:basedOn w:val="Normal"/>
    <w:rsid w:val="00030C32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fnt0">
    <w:name w:val="fnt0"/>
    <w:rsid w:val="000D23D2"/>
    <w:rPr>
      <w:color w:val="000000"/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E25580"/>
  </w:style>
  <w:style w:type="table" w:styleId="TableGrid">
    <w:name w:val="Table Grid"/>
    <w:basedOn w:val="TableNormal"/>
    <w:uiPriority w:val="59"/>
    <w:rsid w:val="00DA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7493A"/>
    <w:rPr>
      <w:rFonts w:ascii="Times New Roman" w:eastAsia="Times New Roman" w:hAnsi="Times New Roman"/>
      <w:b/>
      <w:color w:val="000000"/>
      <w:sz w:val="26"/>
    </w:rPr>
  </w:style>
  <w:style w:type="character" w:customStyle="1" w:styleId="apple-tab-span">
    <w:name w:val="apple-tab-span"/>
    <w:rsid w:val="00716330"/>
  </w:style>
  <w:style w:type="character" w:styleId="FollowedHyperlink">
    <w:name w:val="FollowedHyperlink"/>
    <w:uiPriority w:val="99"/>
    <w:semiHidden/>
    <w:unhideWhenUsed/>
    <w:rsid w:val="00DB736F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sid w:val="00AF788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F62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40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79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ebscohost.com.csuglobal.idm.oclc.org/login.aspx?direct=true&amp;db=f5h&amp;AN=60719873&amp;site=ehost-liv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totoday.com/pto-today-articles/article/1193-9-steps-to-recruit-more-voluntee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hildandfamilyagency.org/school-based-health-centers-receive-2015-good-neighbor-awa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28B422-5646-4105-8ABA-841AD7C7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6934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https://www.teamyou.co/school-wide-pbis-behavior-matrix/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CSU-Global</dc:creator>
  <cp:keywords/>
  <cp:lastModifiedBy>Karen McCay</cp:lastModifiedBy>
  <cp:revision>2</cp:revision>
  <dcterms:created xsi:type="dcterms:W3CDTF">2018-08-05T15:36:00Z</dcterms:created>
  <dcterms:modified xsi:type="dcterms:W3CDTF">2018-08-05T15:36:00Z</dcterms:modified>
</cp:coreProperties>
</file>